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微软雅黑" w:hAnsi="微软雅黑" w:eastAsia="微软雅黑"/>
          <w:b/>
          <w:color w:val="1B5FB8"/>
          <w:sz w:val="17"/>
        </w:rPr>
        <w:t>华盛贝尔 ｜ 用工合规 · 年休假</w:t>
      </w:r>
    </w:p>
    <w:p>
      <w:pPr>
        <w:spacing w:after="40"/>
      </w:pPr>
      <w:r>
        <w:rPr>
          <w:rFonts w:ascii="微软雅黑" w:hAnsi="微软雅黑" w:eastAsia="微软雅黑"/>
          <w:b/>
          <w:color w:val="142236"/>
          <w:sz w:val="34"/>
        </w:rPr>
        <w:t>员工手册 · 年假章节节选</w:t>
      </w:r>
    </w:p>
    <w:p>
      <w:pPr>
        <w:spacing w:after="80"/>
      </w:pPr>
      <w:r>
        <w:rPr>
          <w:rFonts w:ascii="微软雅黑" w:hAnsi="微软雅黑" w:eastAsia="微软雅黑"/>
          <w:b w:val="0"/>
          <w:color w:val="8A95A6"/>
          <w:sz w:val="20"/>
        </w:rPr>
        <w:t>可直接并入员工手册的条款写法 · 版本 2026-10</w:t>
      </w:r>
    </w:p>
    <w:p>
      <w:pPr>
        <w:spacing w:before="0" w:after="200"/>
        <w:pBdr>
          <w:bottom w:val="single" w:sz="10" w:space="1" w:color="1E7BE8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fill="F2F6FC"/>
          </w:tcPr>
          <w:p>
            <w:r>
              <w:rPr>
                <w:rFonts w:ascii="微软雅黑" w:hAnsi="微软雅黑" w:eastAsia="微软雅黑"/>
                <w:b/>
                <w:color w:val="1B5FB8"/>
                <w:sz w:val="20"/>
              </w:rPr>
              <w:t>使用提示</w:t>
            </w:r>
          </w:p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33445C"/>
                <w:sz w:val="19"/>
              </w:rPr>
              <w:t>1. 本章条款可整体并入《员工手册》，并入后请删掉本页提示与文末的「编写提示」。</w:t>
            </w:r>
          </w:p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33445C"/>
                <w:sz w:val="19"/>
              </w:rPr>
              <w:t>2. 章条编号按手册体例顺延；方括号【】处按公司实际填写。</w:t>
            </w:r>
          </w:p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33445C"/>
                <w:sz w:val="19"/>
              </w:rPr>
              <w:t>3. 编写提示是给 HR 的，不建议随手册发给员工。</w:t>
            </w:r>
          </w:p>
        </w:tc>
      </w:tr>
    </w:tbl>
    <w:p>
      <w:pPr>
        <w:spacing w:after="0"/>
      </w:pP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第【】章 年休假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一、适用对象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连续工作满 12 个月以上的职工，享受带薪年休假（含试用期职工）。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累计工作年限由人力资源部依据社保缴纳记录、劳动合同、离职证明或人事档案核定。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二、天数标准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累计工作已满 1 年不满 10 年的，年休假 5 天；已满 10 年不满 20 年的，年休假 10 天；已满 20 年的，年休假 15 天。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国家法定休假日、休息日不计入年休假假期。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三、当年入职与离职的折算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当年入职：按（当年度在本单位剩余日历天数 ÷ 365）× 全年应休天数折算，折算后不足 1 整天的部分不享受。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离职折算：按（当年度在本单位已过日历天数 ÷ 365）× 全年应休天数 − 当年已安排天数，折算后不足 1 整天的部分不支付。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四、申请与安排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公司每年 1 月编制年度排休计划，统筹安排年休假；员工也可提前【3】个工作日提出申请。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年休假可以分段安排，分段原则上不超过【3】段。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公司确因工作需要不能在当年安排的，经员工本人同意，可以跨 1 个年度安排，并留存书面记录。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五、未休年休假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公司确因工作需要不能安排员工休年休假的，经员工本人同意后，对应休未休天数按日工资收入的 300% 支付年休假工资报酬（其中包含正常工作期间的工资）。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日工资收入按本人月工资除以月计薪天数（21.75）折算。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员工因本人原因书面提出不休年休假的，公司只支付正常工作期间的工资收入。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六、记录与台账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人力资源部建立年休假台账，记录应休、已休、剩余天数与安排过程记录。</w:t>
      </w:r>
    </w:p>
    <w:p>
      <w:pPr>
        <w:ind w:left="170"/>
      </w:pPr>
      <w:r>
        <w:rPr>
          <w:rFonts w:ascii="微软雅黑" w:hAnsi="微软雅黑" w:eastAsia="微软雅黑"/>
          <w:b w:val="0"/>
          <w:sz w:val="20"/>
        </w:rPr>
        <w:t>· 每年 11 月至 12 月盘点一次，对未休天数提出安排意见并书面通知员工。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编写提示（HR 内部参考，不随手册发出）</w:t>
      </w:r>
    </w:p>
    <w:p>
      <w:pPr>
        <w:ind w:left="170"/>
      </w:pPr>
      <w:r>
        <w:rPr>
          <w:rFonts w:ascii="微软雅黑" w:hAnsi="微软雅黑" w:eastAsia="微软雅黑"/>
          <w:b w:val="0"/>
          <w:sz w:val="19"/>
        </w:rPr>
        <w:t>· 不要写「当年未休完即作废」：年假的安排义务在企业，直接写“作废”容易被认定无效，改为年初排休 + 年底盘点提醒更稳。</w:t>
      </w:r>
    </w:p>
    <w:p>
      <w:pPr>
        <w:ind w:left="170"/>
      </w:pPr>
      <w:r>
        <w:rPr>
          <w:rFonts w:ascii="微软雅黑" w:hAnsi="微软雅黑" w:eastAsia="微软雅黑"/>
          <w:b w:val="0"/>
          <w:sz w:val="19"/>
        </w:rPr>
        <w:t>· 不要写「入职满 1 年才享受年假」：连续工作满 12 个月即符合享受条件，当年按剩余日历天数折算，写错这一句是最常见的败诉点之一。</w:t>
      </w:r>
    </w:p>
    <w:p>
      <w:pPr>
        <w:ind w:left="170"/>
      </w:pPr>
      <w:r>
        <w:rPr>
          <w:rFonts w:ascii="微软雅黑" w:hAnsi="微软雅黑" w:eastAsia="微软雅黑"/>
          <w:b w:val="0"/>
          <w:sz w:val="19"/>
        </w:rPr>
        <w:t>· 一定要留安排痕迹：排休计划、休假通知、未休确认都要有书面或系统记录，否则“公司已经安排过”很难证明。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说明</w:t>
      </w:r>
    </w:p>
    <w:p>
      <w:pPr>
        <w:ind w:left="170"/>
      </w:pPr>
      <w:r>
        <w:rPr>
          <w:rFonts w:ascii="微软雅黑" w:hAnsi="微软雅黑" w:eastAsia="微软雅黑"/>
          <w:b w:val="0"/>
          <w:color w:val="8A95A6"/>
          <w:sz w:val="18"/>
        </w:rPr>
        <w:t>· 本栏目内容为一般性管理信息整理，不构成法律意见，也不能替代针对具体情形的专业判断。</w:t>
      </w:r>
    </w:p>
    <w:p>
      <w:pPr>
        <w:ind w:left="170"/>
      </w:pPr>
      <w:r>
        <w:rPr>
          <w:rFonts w:ascii="微软雅黑" w:hAnsi="微软雅黑" w:eastAsia="微软雅黑"/>
          <w:b w:val="0"/>
          <w:color w:val="8A95A6"/>
          <w:sz w:val="18"/>
        </w:rPr>
        <w:t>· 各地法规与司法实践存在差异，具体适用请结合企业所在地口径；据此修订制度的，建议由本企业法务或外部专业顾问复核。</w:t>
      </w:r>
    </w:p>
    <w:p>
      <w:pPr>
        <w:ind w:left="170"/>
      </w:pPr>
      <w:r>
        <w:rPr>
          <w:rFonts w:ascii="微软雅黑" w:hAnsi="微软雅黑" w:eastAsia="微软雅黑"/>
          <w:b w:val="0"/>
          <w:color w:val="8A95A6"/>
          <w:sz w:val="18"/>
        </w:rPr>
        <w:t>· 页面中的天数与金额试算为管理自查参考，最终以法定口径与企业实际记录为准。</w:t>
      </w:r>
    </w:p>
    <w:sectPr w:rsidR="00FC693F" w:rsidRPr="0006063C" w:rsidSect="00034616">
      <w:foot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color w:val="8A95A6"/>
        <w:sz w:val="15"/>
      </w:rPr>
      <w:t>深圳市华盛贝尔科技有限公司 · www.chsbell.com · 版本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员工手册 · 年假章节节选</dc:title>
  <dc:subject/>
  <dc:creator>深圳市华盛贝尔科技有限公司</dc:creator>
  <cp:keywords/>
  <dc:description>来自 www.chsbell.com/compliance/annual-leave.html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